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  <w:bookmarkStart w:id="0" w:name="_GoBack"/>
      <w:bookmarkEnd w:id="0"/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B3B-523A-4131-81CA-B8D1E3C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Rolka</dc:creator>
  <cp:keywords/>
  <dc:description/>
  <cp:lastModifiedBy>Bożena Rolka</cp:lastModifiedBy>
  <cp:revision>6</cp:revision>
  <cp:lastPrinted>2020-05-25T10:38:00Z</cp:lastPrinted>
  <dcterms:created xsi:type="dcterms:W3CDTF">2020-05-26T07:19:00Z</dcterms:created>
  <dcterms:modified xsi:type="dcterms:W3CDTF">2020-05-26T10:46:00Z</dcterms:modified>
</cp:coreProperties>
</file>